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68</w:t>
      </w:r>
    </w:p>
    <w:p>
      <w:r>
        <w:t>Bundesgericht (BGE), 1991-01-15, FR</w:t>
      </w:r>
    </w:p>
    <w:p>
      <w:r>
        <w:rPr>
          <w:b/>
        </w:rPr>
        <w:t xml:space="preserve">Quelle: </w:t>
      </w:r>
      <w:r>
        <w:t>https://mcp.opencaselaw.ch/entscheid/bge_117 II 68</w:t>
      </w:r>
    </w:p>
    <w:p>
      <w:r>
        <w:t>FR: ATF 117 II 68</w:t>
      </w:r>
    </w:p>
    <w:p>
      <w:r>
        <w:t>IT: DTF 117 II 68</w:t>
      </w:r>
    </w:p>
    <w:p>
      <w:pPr>
        <w:pStyle w:val="Heading2"/>
      </w:pPr>
      <w:r>
        <w:t>Regeste</w:t>
      </w:r>
    </w:p>
    <w:p>
      <w:r>
        <w:t>Regeste Übernahme eines Geschäftes mit Aktiven und Passiven; vorzeitige Befreiung des Zedenten. Da Art. 181 Abs. 2 OR insoweit dispositiver Natur ist, kann ein Gläubiger den früheren Schuldner vor dem Ablauf der zweijährigen Verjährungsfrist oder sogar schon vor der Entstehung der Forderung von der Schuld befreien. Die Befreiung des Zedenten beruht diesfalls auf einem Erlassvertrag im Sinne von Art. 115 OR.</w:t>
      </w:r>
    </w:p>
    <w:p>
      <w:pPr>
        <w:pStyle w:val="Heading2"/>
      </w:pPr>
      <w:r>
        <w:t>Erwägungen</w:t>
      </w:r>
    </w:p>
    <w:p>
      <w:r>
        <w:rPr>
          <w:b/>
        </w:rPr>
        <w:t>E. 3</w:t>
      </w:r>
    </w:p>
    <w:p>
      <w:r>
        <w:t>La demanderesse reproche, en premier lieu, à la Cour civile d'avoir violé le droit fédéral en considérant que les parties à la convention du 11 février 1982 avaient dérogé à l'art. 181 al. 2 CO au profit du défendeur I. Dans sa réponse, le défendeur G. lui emboîte le pas. a) Celui qui, à l'instar du défendeur G., acquiert une entreprise avec actif et passif devient responsable des dettes envers les créanciers, dès que l'acquisition a été portée par lui à leur connaissance ou qu'il l'a publiée dans les journaux (art. 181 al. 1 CO). Toutefois, en vertu du deuxième alinéa de cette disposition, l'ancien débiteur reste solidairement obligé pendant deux ans avec le nouveau. Cela étant, rien n'empêche un créancier de convenir avec un futur BGE 117 II 68 S. 70 cédant qu'il ne le tiendra pas, à certaines conditions, pour responsable solidaire des dettes de celui qui acquerra son entreprise avec actif et passif. Sous cet angle, l'art. 181 al. 2 CO est de droit dispositif. Le créancier peut libérer l'ancien débiteur avant l'expiration du délai de deux ans. La libération du cédant résulte alors d'une remise conventionnelle au sens de l'art. 115 CO, laquelle peut intervenir même avant que la créance ait pris naissance. b) L'art. 7 du contrat du 11 février 1982 liant le défendeur I. à la demanderesse énonce ce qui suit: "Si l'établissement exploité par le client est transféré pour une raison quelconque à un tiers, soit à titre de propriété, soit à titre de gérance, le client signataire du présent contrat répond de ce que les obligations en résultant soient transférées à son successeur. Si cette obligation de transfert n'est pas respectée, il répond aussi pour les actes de ses successeurs." Ce texte est clair, de sorte qu'il n'y pas lieu d'en dénaturer le sens par la recherche d'une interprétation fondée sur des éléments extrinsèques (ATF 111 II 287 consid. 2). Il en ressort nettement que la seule responsabilité assumée par le défendeur I. était d'imposer à son successeur la reprise des obligations découlant du contrat passé avec la demanderesse, soit, au premier chef, l'engagement de s'approvisionner exclusivement auprès de celle-ci pour l'ensemble de ses achats de bière. La demanderesse croit pouvoir étendre la responsabilité du cédant à l'inexécution du contrat par son successeur, sur le vu des termes suivants, extraits de la seconde phrase de l'article cité: "il répond aussi pour les actes de ses successeurs". Mais, pour arriver à cette conclusion, elle fait abstraction du début de la phrase ("Si cette obligation de transfert n'est pas respectée") et en dénature donc le sens. En réalité, par l'article litigieux, la demanderesse entendait, de toute évidence, attirer l'attention de son client sur le devoir qui lui incombait, en cas de remise de son établissement, de faire en sorte que l'acquéreur reprenne les obligations dérivant du contrat du 11 février 1982. Or, la responsabilité du reprenant pour les dettes afférentes à l'entreprise cédée découle déjà de la loi (art. 181 al. 1 CO). En précisant, dans la seconde phrase de l'art. 7, que, si l'obligation de transfert n'était pas respectée, le client répondrait aussi pour les actes de ses successeurs, la demanderesse admettait donc, a contrario, que le client qui satisferait à cette exigence serait libéré de toute responsabilité, en particulier de celle qu'institue l'art. 181 al. 2 CO, partant qu'il BGE 117 II 68 S. 71 ne resterait pas solidairement obligé pendant deux ans avec le reprenant. C'est, dès lors, à juste titre que la cour cantonale a vu, dans la clause susmentionnée, une remise de dette conventionnelle, stipulée d'avance et soumise à une condition. Il est admis, de part et d'autre, que la condition s'est accomplie. Par conséquent, les juges précédents n'ont pas violé le droit fédéral en libérant le défendeur I. des fins de la demande. Le premier moyen de la demanderesse doit ainsi être rejeté, de même que la conclusion subsidiaire du défendeur G. tendant à ce que I. le relève de la condamnation qui a été prononcée contre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